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Experiencias de compra seguras y versatilidad en métodos de pago: los requisitos en retail para la nueva normalidad</w:t>
      </w:r>
    </w:p>
    <w:p w:rsidR="00000000" w:rsidDel="00000000" w:rsidP="00000000" w:rsidRDefault="00000000" w:rsidRPr="00000000" w14:paraId="00000002">
      <w:pPr>
        <w:jc w:val="center"/>
        <w:rPr>
          <w:rFonts w:ascii="Arial" w:cs="Arial" w:eastAsia="Arial" w:hAnsi="Arial"/>
          <w:i w:val="1"/>
        </w:rPr>
      </w:pPr>
      <w:r w:rsidDel="00000000" w:rsidR="00000000" w:rsidRPr="00000000">
        <w:rPr>
          <w:rFonts w:ascii="Arial" w:cs="Arial" w:eastAsia="Arial" w:hAnsi="Arial"/>
          <w:i w:val="1"/>
          <w:rtl w:val="0"/>
        </w:rPr>
        <w:t xml:space="preserve">Panasonic y Fiserv se aliaron para ofrecer a los negocios de retail la última tecnología en kioscos digitales de autoservicio.</w:t>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hace algunos años los puntos de venta se han ido volviendo mucho más interactivos e inteligentes para agilizar el servicio y facilitar la operatividad de los negocios. Sin embargo, a raíz de la pandemia por Covid-19 esa tendencia está dando un verdadero vuelco hacia el autoservicio debido a la necesidad de mantener protocolos de higiene y distanciamiento entre las personas.</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situaciones de convivencia han cambiado y con ello las experiencias de compra. Y si bien las ventas online han aumentado drásticamente debido al confinamiento, una gran cantidad de clientes aún prefieren acudir físicamente al establecimiento, aunque sea para recoger sus productos. Es por esta razón que los nuevos consumidores buscarán valores agregados en sus transacciones, como rapidez, facilidad, seguridad financiera, y por supuesto, el menor contacto posible entre clientes y empleados para evitar contagios.</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otro lado, ofrecer diversas opciones de pago es otra necesidad derivada de esta nueva normalidad, especialmente tras relacionar el manejo de efectivo con un posible foco de contagio.</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todo esto en mente, Panasonic Business y Fiserv unieron su tecnología para ofrecer un punto de venta especialmente enfocado en satisfacer las necesidades de la industria de retail, aunque también cuenta ya con exitosas aplicaciones en restaurantes de comida rápida y centros de entretenimiento.</w:t>
      </w:r>
    </w:p>
    <w:p w:rsidR="00000000" w:rsidDel="00000000" w:rsidP="00000000" w:rsidRDefault="00000000" w:rsidRPr="00000000" w14:paraId="00000007">
      <w:pPr>
        <w:tabs>
          <w:tab w:val="left" w:pos="1770"/>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trata del </w:t>
      </w:r>
      <w:r w:rsidDel="00000000" w:rsidR="00000000" w:rsidRPr="00000000">
        <w:rPr>
          <w:rFonts w:ascii="Arial" w:cs="Arial" w:eastAsia="Arial" w:hAnsi="Arial"/>
          <w:b w:val="1"/>
          <w:sz w:val="24"/>
          <w:szCs w:val="24"/>
          <w:rtl w:val="0"/>
        </w:rPr>
        <w:t xml:space="preserve">Self Ordering Kiosk</w:t>
      </w:r>
      <w:r w:rsidDel="00000000" w:rsidR="00000000" w:rsidRPr="00000000">
        <w:rPr>
          <w:rFonts w:ascii="Arial" w:cs="Arial" w:eastAsia="Arial" w:hAnsi="Arial"/>
          <w:sz w:val="24"/>
          <w:szCs w:val="24"/>
          <w:rtl w:val="0"/>
        </w:rPr>
        <w:t xml:space="preserve"> de Panasonic, un módulo que cuenta con una pantalla táctil de 27 pulgadas, cámara HD, avanzada terminal de pago Fiserv, impresora térmica y software personalizado (totalmente adaptado a las necesidades del negocio) y que permite al cliente tener el control en cada etapa de su compra. Una versión similar, el </w:t>
      </w:r>
      <w:r w:rsidDel="00000000" w:rsidR="00000000" w:rsidRPr="00000000">
        <w:rPr>
          <w:rFonts w:ascii="Arial" w:cs="Arial" w:eastAsia="Arial" w:hAnsi="Arial"/>
          <w:b w:val="1"/>
          <w:sz w:val="24"/>
          <w:szCs w:val="24"/>
          <w:rtl w:val="0"/>
        </w:rPr>
        <w:t xml:space="preserve">Self Check-Out Kiosk o Self-Scanning Kiosk, </w:t>
      </w:r>
      <w:r w:rsidDel="00000000" w:rsidR="00000000" w:rsidRPr="00000000">
        <w:rPr>
          <w:rFonts w:ascii="Arial" w:cs="Arial" w:eastAsia="Arial" w:hAnsi="Arial"/>
          <w:sz w:val="24"/>
          <w:szCs w:val="24"/>
          <w:rtl w:val="0"/>
        </w:rPr>
        <w:t xml:space="preserve">permite incluso que el propio consumidor pueda escanear, pagar o eliminar productos de su pedido.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Gracias a las terminales de cobro denominadas PinPad de Fiserv, como es el caso del modelo </w:t>
      </w:r>
      <w:r w:rsidDel="00000000" w:rsidR="00000000" w:rsidRPr="00000000">
        <w:rPr>
          <w:rFonts w:ascii="Arial" w:cs="Arial" w:eastAsia="Arial" w:hAnsi="Arial"/>
          <w:b w:val="1"/>
          <w:sz w:val="24"/>
          <w:szCs w:val="24"/>
          <w:rtl w:val="0"/>
        </w:rPr>
        <w:t xml:space="preserve">Lane 3000</w:t>
      </w:r>
      <w:r w:rsidDel="00000000" w:rsidR="00000000" w:rsidRPr="00000000">
        <w:rPr>
          <w:rFonts w:ascii="Arial" w:cs="Arial" w:eastAsia="Arial" w:hAnsi="Arial"/>
          <w:sz w:val="24"/>
          <w:szCs w:val="24"/>
          <w:rtl w:val="0"/>
        </w:rPr>
        <w:t xml:space="preserve">, los clientes pueden optar por usar cualquier tarjeta bancaria, ya sea nacional o internacional, o bien, prepago OL, vales electrónicos, wallets (Samsung Pay, BBVA Wallet, Citibanamex Wallet, Apple Pay, GooglePay), programas de lealtad y programa de meses sin intereses.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Estos PinPad poseen tecnología </w:t>
      </w:r>
      <w:r w:rsidDel="00000000" w:rsidR="00000000" w:rsidRPr="00000000">
        <w:rPr>
          <w:rFonts w:ascii="Arial" w:cs="Arial" w:eastAsia="Arial" w:hAnsi="Arial"/>
          <w:i w:val="1"/>
          <w:sz w:val="24"/>
          <w:szCs w:val="24"/>
          <w:rtl w:val="0"/>
        </w:rPr>
        <w:t xml:space="preserve">“contactless”</w:t>
      </w:r>
      <w:r w:rsidDel="00000000" w:rsidR="00000000" w:rsidRPr="00000000">
        <w:rPr>
          <w:rFonts w:ascii="Arial" w:cs="Arial" w:eastAsia="Arial" w:hAnsi="Arial"/>
          <w:sz w:val="24"/>
          <w:szCs w:val="24"/>
          <w:rtl w:val="0"/>
        </w:rPr>
        <w:t xml:space="preserve">, con la que no es necesario deslizar la tarjeta por la terminal sino simplemente acercarla para aceptar la transacción, reduciendo así el riesgo de contaminación de objetos.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b w:val="1"/>
          <w:sz w:val="24"/>
          <w:szCs w:val="24"/>
          <w:rtl w:val="0"/>
        </w:rPr>
        <w:t xml:space="preserve">Self-Ordering Kiosk</w:t>
      </w:r>
      <w:r w:rsidDel="00000000" w:rsidR="00000000" w:rsidRPr="00000000">
        <w:rPr>
          <w:rFonts w:ascii="Arial" w:cs="Arial" w:eastAsia="Arial" w:hAnsi="Arial"/>
          <w:sz w:val="24"/>
          <w:szCs w:val="24"/>
          <w:rtl w:val="0"/>
        </w:rPr>
        <w:t xml:space="preserve"> puede generar desde un 30% hasta un 50% más ventas por ticket a comparación con la actividad de mostrador debido a que agiliza el servicio y es capaz de impulsar las ventas al mostrar en pantalla ofertas, cupones y sugerencias de productos suplementarios al pedido original.</w:t>
      </w:r>
    </w:p>
    <w:p w:rsidR="00000000" w:rsidDel="00000000" w:rsidP="00000000" w:rsidRDefault="00000000" w:rsidRPr="00000000" w14:paraId="0000000B">
      <w:pPr>
        <w:jc w:val="both"/>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Estos kioscos interactivos de autoservicio buscan optimizar el funcionamiento de los negocios, mejorar la experiencia de compra de los consumidores, y sobre todo, contribuir a mantener la sana distancia por el bien de todos.</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jc w:val="both"/>
        <w:rPr>
          <w:rFonts w:ascii="Arial" w:cs="Arial" w:eastAsia="Arial" w:hAnsi="Arial"/>
          <w:b w:val="1"/>
        </w:rPr>
      </w:pPr>
      <w:r w:rsidDel="00000000" w:rsidR="00000000" w:rsidRPr="00000000">
        <w:rPr>
          <w:rFonts w:ascii="Arial" w:cs="Arial" w:eastAsia="Arial" w:hAnsi="Arial"/>
          <w:b w:val="1"/>
          <w:rtl w:val="0"/>
        </w:rPr>
        <w:t xml:space="preserve">Sobre Panasonic</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Panasonic Corporation es un líder mundial en el desarrollo de tecnologías y soluciones innovadoras para aplicaciones de gran alcance en los sectores de electrónica de consumo, vivienda, automotriz y B2B. La compañía, que celebró su centenario en 2018, opera 528 filiales y 72 compañías asociadas en todo el mundo, registrando ventas netas consolidadas de 7.49 trillones de yenes en el año fiscal, finalizado el 31 de marzo de 2020. Comprometida con la búsqueda de un nuevo valor a través de la innovación colaborativa, la empresa utiliza sus tecnologías para crear una vida mejor y un mundo mejor para sus clientes. Para obtener más información acerca de Panasonic, visite: </w:t>
      </w:r>
      <w:hyperlink r:id="rId6">
        <w:r w:rsidDel="00000000" w:rsidR="00000000" w:rsidRPr="00000000">
          <w:rPr>
            <w:rFonts w:ascii="Arial" w:cs="Arial" w:eastAsia="Arial" w:hAnsi="Arial"/>
            <w:color w:val="0000ff"/>
            <w:u w:val="single"/>
            <w:rtl w:val="0"/>
          </w:rPr>
          <w:t xml:space="preserve">http://www.panasonic.com/global</w:t>
        </w:r>
      </w:hyperlink>
      <w:r w:rsidDel="00000000" w:rsidR="00000000" w:rsidRPr="00000000">
        <w:rPr>
          <w:rFonts w:ascii="Arial" w:cs="Arial" w:eastAsia="Arial" w:hAnsi="Arial"/>
          <w:rtl w:val="0"/>
        </w:rPr>
        <w:t xml:space="preserve">. En México, Panasonic opera desde 1979 con oficinas corporativas en Ciudad de México y oficinas comerciales en Guadalajara, Monterrey y Tijuana. Para mayor información sobre Panasonic de México, por favor visite: </w:t>
      </w:r>
      <w:hyperlink r:id="rId7">
        <w:r w:rsidDel="00000000" w:rsidR="00000000" w:rsidRPr="00000000">
          <w:rPr>
            <w:rFonts w:ascii="Arial" w:cs="Arial" w:eastAsia="Arial" w:hAnsi="Arial"/>
            <w:color w:val="0000ff"/>
            <w:u w:val="single"/>
            <w:rtl w:val="0"/>
          </w:rPr>
          <w:t xml:space="preserve">https://www.panasonic.com/mx/</w:t>
        </w:r>
      </w:hyperlink>
      <w:r w:rsidDel="00000000" w:rsidR="00000000" w:rsidRPr="00000000">
        <w:rPr>
          <w:rtl w:val="0"/>
        </w:rPr>
      </w:r>
    </w:p>
    <w:p w:rsidR="00000000" w:rsidDel="00000000" w:rsidP="00000000" w:rsidRDefault="00000000" w:rsidRPr="00000000" w14:paraId="0000000F">
      <w:pPr>
        <w:jc w:val="both"/>
        <w:rPr>
          <w:rFonts w:ascii="Arial" w:cs="Arial" w:eastAsia="Arial" w:hAnsi="Arial"/>
          <w:b w:val="1"/>
        </w:rPr>
      </w:pPr>
      <w:r w:rsidDel="00000000" w:rsidR="00000000" w:rsidRPr="00000000">
        <w:rPr>
          <w:rFonts w:ascii="Arial" w:cs="Arial" w:eastAsia="Arial" w:hAnsi="Arial"/>
          <w:b w:val="1"/>
          <w:rtl w:val="0"/>
        </w:rPr>
        <w:t xml:space="preserve">Sobre Fiserv</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Fundada en 1984 con sede en Brookfield, Wisconsin, EU, Fiserv es el líder global en Banking Solutions y Procesamiento de Pagos, habilitando experiencias innovadoras en sintonía con la forma en que la gente vive y trabaja hoy. Fiserv cuenta con aproximadamente 44,000 asociados y más de 1,000 patentes emitidas y pendientes con el fin de servir a miles de instituciones financieras, negocios y comercios de todos los tamaños en más de 100 países para que sus clientes, socios y consumidores puedan mover dinero cuándo y dónde lo necesiten en el momento en que lo requieran. Para mayor información sobre Fiserv, por favor visite: https://www.fiserv.com.</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anasonic.com/global." TargetMode="External"/><Relationship Id="rId7" Type="http://schemas.openxmlformats.org/officeDocument/2006/relationships/hyperlink" Target="https://www.panasonic.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